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20"/>
        <w:gridCol w:w="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092200" cy="1092200"/>
                  <wp:effectExtent l="0" t="0" r="0" b="0"/>
                  <wp:docPr id="907889417" name="Picture">
</wp:docPr>
                  <a:graphic>
                    <a:graphicData uri="http://schemas.openxmlformats.org/drawingml/2006/picture">
                      <pic:pic>
                        <pic:nvPicPr>
                          <pic:cNvPr id="907889417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spacing w:lineRule="auto" w:line="240" w:after="0" w:before="0"/>
            </w:pPr>
            <w:r>
              <w:rPr/>
              <w:drawing>
                <wp:inline distT="0" distB="0" distL="0" distR="0">
                  <wp:extent cx="635000" cy="571500"/>
                  <wp:effectExtent l="0" t="0" r="0" b="0"/>
                  <wp:docPr id="1142089478" name="Picture">
</wp:docPr>
                  <a:graphic>
                    <a:graphicData uri="http://schemas.openxmlformats.org/drawingml/2006/picture">
                      <pic:pic>
                        <pic:nvPicPr>
                          <pic:cNvPr id="1142089478" name="Picture"/>
                          <pic:cNvPicPr/>
                        </pic:nvPicPr>
                        <pic:blipFill>
                          <a:blip r:embed="img_0_0_3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ЕВРАЗИЙСКИЙ ЭКОНОМИЧЕСКИЙ СОЮЗ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"ТРАНСФЕР", Место нахождения: 630005, Россия, Новосибирская область, г Новосибирск, ул фрунзе, Д. 96,  , Офис   800б      , ОГРН: 1215400044936, Номер телефона: +7 9039976677, Адрес электронной почты: rva@sibtransasia.ru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Директор 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   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Электрический нагреватель воды в аквариумах бытового назначения </w:t>
              <w:br/>
              <w:t xml:space="preserve">XH-998-50W </w:t>
              <w:br/>
              <w:t xml:space="preserve">XH-1000-50W </w:t>
              <w:br/>
              <w:t xml:space="preserve">XH-1000-100W </w:t>
              <w:br/>
              <w:t xml:space="preserve">XH-668-100W</w:t>
              <w:br/>
              <w:t xml:space="preserve">XH-668-200W</w:t>
              <w:br/>
              <w:t xml:space="preserve">, TM X-Aquatic</w:t>
              <w:br/>
            </w: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HAIJING AQUARIUM INTERNATIONAL LIMITED, Место нахождения: Китай, No.1 DongBianWei Industrial park, XiaXi Road, NanHai Guicheng, Foshan, Guangdong, Адрес места осуществления деятельности по изготовлению продукции: Китай, No.1 DongBianWei Industrial park, XiaXi Road, NanHai Guicheng, Foshan, Guangdong</w:t>
              <w:br/>
              <w:t xml:space="preserve">Коды ТН ВЭД ЕАЭС: 8516108000</w:t>
              <w:br/>
              <w:t xml:space="preserve">Серийный выпуск,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ТР ЕАЭС 037/2016 Об ограничении применения опасных веществ в изделиях электротехники и радиоэлектроники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11-6390-2022 выдан 10.11.2022  испытательной лабораторией "Испытательная лаборатория "ЕАЭС" ООО «Единое агентство экспертизы и сертификации» , аттестат аккредитации РОСС RU.З2001.04ИБФ1.ИЛ43 от 13.12.2021"; Схема декларирования: 1д;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Дополнительная информация </w:t>
            </w:r>
            <w:r>
              <w:rPr>
                <w:rFonts w:ascii="Arial" w:hAnsi="Arial" w:eastAsia="Arial" w:cs="Arial"/>
                <w:color w:val="000000"/>
                <w:sz w:val="14"/>
              </w:rPr>
              <w:t xml:space="preserve">Стандарты и иные нормативные документы: ГОСТ, IEC 62321-3-1-2016 «Определение регламентированных веществ в электротехнических изделиях. Часть 3-1. Скрининг. Анализ свинца, ртути, кадмия, общего хрома и общего брома методом рентгенофлуоресцентной спектрометрии»; Условия и сроки хранения: Условия хранения продукции в соответствии с ГОСТ 15150-69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среды". Срок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09.11.2025</w:t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 включительно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(Ф. И. О. заявителя)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ЕАЭС N RU Д-CN.РА08.В.10816/22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11.11.2022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200" w:right="380" w:bottom="40" w:left="9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3.png" Type="http://schemas.openxmlformats.org/officeDocument/2006/relationships/image" Target="media/img_0_0_3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